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24F" w:rsidRDefault="00C7524F"/>
    <w:p w:rsidR="0079257B" w:rsidRPr="0079257B" w:rsidRDefault="0079257B" w:rsidP="007116A1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257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ИЗВЕШТАЈ ПРОГРАМА </w:t>
      </w:r>
      <w:r w:rsidR="007116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РАДА ТИМА </w:t>
      </w:r>
      <w:r w:rsidRPr="0079257B">
        <w:rPr>
          <w:rFonts w:ascii="Times New Roman" w:hAnsi="Times New Roman" w:cs="Times New Roman"/>
          <w:b/>
          <w:sz w:val="24"/>
          <w:szCs w:val="24"/>
          <w:lang w:val="sr-Cyrl-CS"/>
        </w:rPr>
        <w:t>ЗА ПРЕВЕНЦИЈУ ГОВОРНИХ ПОРЕМЕЋАЈА</w:t>
      </w:r>
      <w:r w:rsidR="00DA1CC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2013/2014</w:t>
      </w:r>
    </w:p>
    <w:p w:rsidR="0079257B" w:rsidRPr="0079257B" w:rsidRDefault="0079257B">
      <w:pPr>
        <w:rPr>
          <w:lang w:val="sr-Cyrl-CS"/>
        </w:rPr>
      </w:pPr>
    </w:p>
    <w:p w:rsidR="0079257B" w:rsidRPr="002C2BA6" w:rsidRDefault="0079257B" w:rsidP="0079257B">
      <w:pPr>
        <w:rPr>
          <w:lang w:val="sr-Latn-CS"/>
        </w:rPr>
      </w:pPr>
      <w:r w:rsidRPr="002C2BA6">
        <w:rPr>
          <w:b/>
          <w:lang w:val="sr-Latn-CS"/>
        </w:rPr>
        <w:t>„ КАЖИ-ПОКАЖИ</w:t>
      </w:r>
      <w:r w:rsidRPr="002C2BA6">
        <w:rPr>
          <w:lang w:val="sr-Latn-CS"/>
        </w:rPr>
        <w:t>“ је програм спровођења превентивних говорних  активности васпитача у оквиру свога рада.</w:t>
      </w:r>
      <w:r>
        <w:rPr>
          <w:lang w:val="sr-Cyrl-CS"/>
        </w:rPr>
        <w:t>С</w:t>
      </w:r>
      <w:r w:rsidRPr="002C2BA6">
        <w:rPr>
          <w:lang w:val="sr-Latn-CS"/>
        </w:rPr>
        <w:t xml:space="preserve">провођења превентивних говорних активности васпитачи у протеклој школској </w:t>
      </w:r>
      <w:r>
        <w:rPr>
          <w:lang w:val="sr-Latn-CS"/>
        </w:rPr>
        <w:t xml:space="preserve">2013/2014 </w:t>
      </w:r>
      <w:r w:rsidRPr="002C2BA6">
        <w:rPr>
          <w:lang w:val="sr-Latn-CS"/>
        </w:rPr>
        <w:t xml:space="preserve">години су </w:t>
      </w:r>
      <w:r>
        <w:rPr>
          <w:lang w:val="sr-Cyrl-CS"/>
        </w:rPr>
        <w:t>реализовали на следећи начин</w:t>
      </w:r>
      <w:r w:rsidRPr="002C2BA6">
        <w:rPr>
          <w:lang w:val="sr-Latn-CS"/>
        </w:rPr>
        <w:t>:</w:t>
      </w:r>
    </w:p>
    <w:p w:rsidR="0079257B" w:rsidRPr="00F16176" w:rsidRDefault="0079257B" w:rsidP="0079257B">
      <w:pPr>
        <w:rPr>
          <w:lang w:val="sr-Latn-CS"/>
        </w:rPr>
      </w:pPr>
      <w:r>
        <w:rPr>
          <w:lang w:val="sr-Latn-CS"/>
        </w:rPr>
        <w:t xml:space="preserve">     </w:t>
      </w:r>
      <w:r>
        <w:rPr>
          <w:lang w:val="sr-Cyrl-CS"/>
        </w:rPr>
        <w:t>1</w:t>
      </w:r>
      <w:r w:rsidRPr="00F16176">
        <w:rPr>
          <w:lang w:val="sr-Latn-CS"/>
        </w:rPr>
        <w:t>.Васпитачи</w:t>
      </w:r>
      <w:r w:rsidRPr="00F16176">
        <w:rPr>
          <w:lang w:val="sr-Cyrl-CS"/>
        </w:rPr>
        <w:t xml:space="preserve">,чланови Тима </w:t>
      </w:r>
      <w:r w:rsidRPr="00F16176">
        <w:rPr>
          <w:lang w:val="sr-Latn-CS"/>
        </w:rPr>
        <w:t xml:space="preserve"> своја искуства преносе осталим  васпитачима на Активима узрасних група,где се презентују пројекти,и где и остали васпитачи имају прилике да опробају технике и начине рада  у виду радионица</w:t>
      </w:r>
      <w:r>
        <w:rPr>
          <w:lang w:val="sr-Latn-CS"/>
        </w:rPr>
        <w:t xml:space="preserve"> </w:t>
      </w:r>
      <w:r>
        <w:rPr>
          <w:lang w:val="sr-Cyrl-CS"/>
        </w:rPr>
        <w:t>са васпитачима</w:t>
      </w:r>
      <w:r w:rsidRPr="00F16176">
        <w:rPr>
          <w:lang w:val="sr-Latn-CS"/>
        </w:rPr>
        <w:t xml:space="preserve">.У протеклој школској години одржало се </w:t>
      </w:r>
      <w:r w:rsidRPr="00F16176">
        <w:rPr>
          <w:lang w:val="sr-Cyrl-CS"/>
        </w:rPr>
        <w:t>2</w:t>
      </w:r>
      <w:r w:rsidRPr="00F16176">
        <w:rPr>
          <w:lang w:val="sr-Latn-CS"/>
        </w:rPr>
        <w:t xml:space="preserve"> стручних узрасних Актива на тему стимулације говора.</w:t>
      </w:r>
      <w:r w:rsidRPr="00F16176">
        <w:rPr>
          <w:lang w:val="sr-Cyrl-CS"/>
        </w:rPr>
        <w:t>Теме едукација су биле:</w:t>
      </w:r>
      <w:r w:rsidRPr="00F16176">
        <w:rPr>
          <w:lang w:val="sr-Latn-CS"/>
        </w:rPr>
        <w:t xml:space="preserve"> </w:t>
      </w:r>
    </w:p>
    <w:p w:rsidR="0079257B" w:rsidRPr="002C2BA6" w:rsidRDefault="0079257B" w:rsidP="0079257B">
      <w:pPr>
        <w:pStyle w:val="ListParagraph"/>
        <w:numPr>
          <w:ilvl w:val="0"/>
          <w:numId w:val="1"/>
        </w:numPr>
        <w:rPr>
          <w:lang w:val="sr-Latn-CS"/>
        </w:rPr>
      </w:pPr>
      <w:r w:rsidRPr="002C2BA6">
        <w:rPr>
          <w:lang w:val="sr-Latn-CS"/>
        </w:rPr>
        <w:t>Логомоторика у вртићу</w:t>
      </w:r>
    </w:p>
    <w:p w:rsidR="0079257B" w:rsidRPr="002C2BA6" w:rsidRDefault="0079257B" w:rsidP="0079257B">
      <w:pPr>
        <w:pStyle w:val="ListParagraph"/>
        <w:numPr>
          <w:ilvl w:val="0"/>
          <w:numId w:val="1"/>
        </w:numPr>
        <w:rPr>
          <w:lang w:val="sr-Latn-CS"/>
        </w:rPr>
      </w:pPr>
      <w:r w:rsidRPr="002C2BA6">
        <w:rPr>
          <w:lang w:val="sr-Latn-CS"/>
        </w:rPr>
        <w:t>Говорне радионице-играонице са нагласком  на  вежбе дисања</w:t>
      </w:r>
    </w:p>
    <w:p w:rsidR="0079257B" w:rsidRPr="002C2BA6" w:rsidRDefault="0079257B" w:rsidP="0079257B">
      <w:pPr>
        <w:pStyle w:val="ListParagraph"/>
        <w:numPr>
          <w:ilvl w:val="0"/>
          <w:numId w:val="1"/>
        </w:numPr>
        <w:rPr>
          <w:lang w:val="sr-Latn-CS"/>
        </w:rPr>
      </w:pPr>
      <w:r w:rsidRPr="002C2BA6">
        <w:rPr>
          <w:lang w:val="sr-Latn-CS"/>
        </w:rPr>
        <w:t>Артикулација критичних гласова</w:t>
      </w:r>
    </w:p>
    <w:p w:rsidR="0079257B" w:rsidRPr="00D342F4" w:rsidRDefault="0079257B" w:rsidP="0079257B">
      <w:pPr>
        <w:pStyle w:val="ListParagraph"/>
        <w:numPr>
          <w:ilvl w:val="0"/>
          <w:numId w:val="1"/>
        </w:numPr>
        <w:rPr>
          <w:lang w:val="sr-Latn-CS"/>
        </w:rPr>
      </w:pPr>
      <w:r w:rsidRPr="002C2BA6">
        <w:rPr>
          <w:lang w:val="sr-Latn-CS"/>
        </w:rPr>
        <w:t>Припрема за почетно читање и писање</w:t>
      </w:r>
    </w:p>
    <w:p w:rsidR="0079257B" w:rsidRPr="00D342F4" w:rsidRDefault="0079257B" w:rsidP="0079257B">
      <w:pPr>
        <w:rPr>
          <w:lang w:val="sr-Cyrl-CS"/>
        </w:rPr>
      </w:pPr>
      <w:r>
        <w:rPr>
          <w:lang w:val="sr-Cyrl-CS"/>
        </w:rPr>
        <w:t>2.Васпитачи добијају чек листе за процену говорних способности за одређени узраст деце,где  помоћу изговорних норми,постављених питања и конкретних примера процењују ниво-говорно језичког развоја деце.  Чек листе су предвиђене да остану у васпитним групама,да би се рад на говорно-језичком развоју деце могао  планирати,подстицати структуре слабије развијене,као и мерити ефекте свога рада ,ретестирањем  поновних говорних функција.</w:t>
      </w:r>
    </w:p>
    <w:p w:rsidR="0079257B" w:rsidRPr="00F16176" w:rsidRDefault="0079257B" w:rsidP="0079257B">
      <w:pPr>
        <w:rPr>
          <w:lang w:val="sr-Cyrl-CS"/>
        </w:rPr>
      </w:pPr>
      <w:r>
        <w:rPr>
          <w:lang w:val="sr-Cyrl-CS"/>
        </w:rPr>
        <w:t>3.Васпитачи на крају године су у обавези да  прикажу резултате процене говорног статуса деце у групи,са освртом на децу,која имају потешкоће,са освртом на начине  њиховог подстицаја,и предлозима у подстицању говорног развоја деце у васпитној групи.</w:t>
      </w:r>
    </w:p>
    <w:p w:rsidR="0079257B" w:rsidRPr="00ED56A3" w:rsidRDefault="0079257B" w:rsidP="0079257B">
      <w:pPr>
        <w:rPr>
          <w:lang w:val="sr-Latn-CS"/>
        </w:rPr>
      </w:pPr>
      <w:r>
        <w:rPr>
          <w:sz w:val="24"/>
          <w:szCs w:val="24"/>
          <w:lang w:val="sr-Latn-CS"/>
        </w:rPr>
        <w:t xml:space="preserve">  4.</w:t>
      </w:r>
      <w:r w:rsidRPr="00ED56A3">
        <w:rPr>
          <w:lang w:val="sr-Latn-CS"/>
        </w:rPr>
        <w:t>Евалуација примењеног у васпитним групама се врши увидом у Књигу рада васпитача,и усменом разменом кроз посете васпитних група од стране логопеда и васпитача.</w:t>
      </w:r>
    </w:p>
    <w:p w:rsidR="0079257B" w:rsidRPr="00127ECF" w:rsidRDefault="0079257B" w:rsidP="0079257B">
      <w:pPr>
        <w:spacing w:before="100" w:beforeAutospacing="1" w:after="100" w:afterAutospacing="1"/>
        <w:rPr>
          <w:rFonts w:cs="Arial"/>
          <w:lang w:val="sr-Latn-CS"/>
        </w:rPr>
      </w:pPr>
      <w:r w:rsidRPr="002C2BA6">
        <w:rPr>
          <w:b/>
          <w:lang w:val="sr-Latn-CS"/>
        </w:rPr>
        <w:t>„</w:t>
      </w:r>
      <w:r>
        <w:rPr>
          <w:b/>
          <w:lang w:val="sr-Latn-CS"/>
        </w:rPr>
        <w:t>ГОВОРНЕ</w:t>
      </w:r>
      <w:r w:rsidRPr="002C2BA6">
        <w:rPr>
          <w:b/>
          <w:lang w:val="sr-Latn-CS"/>
        </w:rPr>
        <w:t xml:space="preserve"> </w:t>
      </w:r>
      <w:r>
        <w:rPr>
          <w:b/>
          <w:lang w:val="sr-Latn-CS"/>
        </w:rPr>
        <w:t>РАДИОНИЦЕ</w:t>
      </w:r>
      <w:r>
        <w:rPr>
          <w:sz w:val="24"/>
          <w:szCs w:val="24"/>
          <w:lang w:val="sr-Latn-CS"/>
        </w:rPr>
        <w:t xml:space="preserve">“ </w:t>
      </w:r>
      <w:r>
        <w:rPr>
          <w:rFonts w:cs="Arial"/>
        </w:rPr>
        <w:t>за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децу</w:t>
      </w:r>
      <w:r w:rsidRPr="00127ECF">
        <w:rPr>
          <w:rFonts w:cs="Arial"/>
          <w:lang w:val="sr-Latn-CS"/>
        </w:rPr>
        <w:t xml:space="preserve">  </w:t>
      </w:r>
      <w:r>
        <w:rPr>
          <w:rFonts w:cs="Arial"/>
        </w:rPr>
        <w:t>или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за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децу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родитеље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спроводи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га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васпитач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стручни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сарадник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току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ван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радног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времена</w:t>
      </w:r>
      <w:r w:rsidRPr="00127ECF">
        <w:rPr>
          <w:rFonts w:cs="Arial"/>
          <w:lang w:val="sr-Latn-CS"/>
        </w:rPr>
        <w:t xml:space="preserve"> </w:t>
      </w:r>
      <w:r>
        <w:rPr>
          <w:rFonts w:cs="Arial"/>
        </w:rPr>
        <w:t>васпитача</w:t>
      </w:r>
      <w:r w:rsidRPr="00127ECF">
        <w:rPr>
          <w:rFonts w:cs="Arial"/>
          <w:lang w:val="sr-Latn-CS"/>
        </w:rPr>
        <w:t xml:space="preserve">.  </w:t>
      </w:r>
    </w:p>
    <w:p w:rsidR="0079257B" w:rsidRPr="000C2077" w:rsidRDefault="0079257B" w:rsidP="0079257B">
      <w:pPr>
        <w:spacing w:before="100" w:beforeAutospacing="1" w:after="100" w:afterAutospacing="1"/>
        <w:rPr>
          <w:rFonts w:cs="Arial"/>
          <w:lang w:val="sr-Latn-CS"/>
        </w:rPr>
      </w:pPr>
      <w:r>
        <w:rPr>
          <w:rFonts w:cs="Arial"/>
        </w:rPr>
        <w:t>Задатак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говорних</w:t>
      </w:r>
      <w:r w:rsidRPr="000C2077">
        <w:rPr>
          <w:rFonts w:cs="Arial"/>
          <w:lang w:val="sr-Latn-CS"/>
        </w:rPr>
        <w:t xml:space="preserve">  </w:t>
      </w:r>
      <w:r>
        <w:rPr>
          <w:rFonts w:cs="Arial"/>
        </w:rPr>
        <w:t>радионица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0C2077">
        <w:rPr>
          <w:rFonts w:cs="Arial"/>
          <w:lang w:val="sr-Latn-CS"/>
        </w:rPr>
        <w:t xml:space="preserve"> :</w:t>
      </w:r>
    </w:p>
    <w:p w:rsidR="0079257B" w:rsidRPr="000C2077" w:rsidRDefault="0079257B" w:rsidP="0079257B">
      <w:pPr>
        <w:spacing w:before="100" w:beforeAutospacing="1" w:after="100" w:afterAutospacing="1"/>
        <w:rPr>
          <w:rFonts w:cs="Arial"/>
          <w:lang w:val="sr-Latn-CS"/>
        </w:rPr>
      </w:pPr>
      <w:r w:rsidRPr="000C2077">
        <w:rPr>
          <w:rFonts w:cs="Arial"/>
          <w:lang w:val="sr-Latn-CS"/>
        </w:rPr>
        <w:t>-</w:t>
      </w:r>
      <w:r>
        <w:rPr>
          <w:rFonts w:cs="Arial"/>
        </w:rPr>
        <w:t>Ширење</w:t>
      </w:r>
      <w:r w:rsidRPr="000C2077">
        <w:rPr>
          <w:rFonts w:cs="Arial"/>
          <w:lang w:val="sr-Latn-CS"/>
        </w:rPr>
        <w:t xml:space="preserve">  </w:t>
      </w:r>
      <w:r>
        <w:rPr>
          <w:rFonts w:cs="Arial"/>
        </w:rPr>
        <w:t>идеје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подстицаја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говора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ван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васпитних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група</w:t>
      </w:r>
      <w:r w:rsidRPr="000C2077">
        <w:rPr>
          <w:rFonts w:cs="Arial"/>
          <w:lang w:val="sr-Latn-CS"/>
        </w:rPr>
        <w:t>-</w:t>
      </w:r>
      <w:r>
        <w:rPr>
          <w:rFonts w:cs="Arial"/>
        </w:rPr>
        <w:t>радити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на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развоју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комуникативних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функција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говора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на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нивоу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објеката</w:t>
      </w:r>
      <w:r w:rsidRPr="000C2077">
        <w:rPr>
          <w:rFonts w:cs="Arial"/>
          <w:lang w:val="sr-Latn-CS"/>
        </w:rPr>
        <w:t>,</w:t>
      </w:r>
    </w:p>
    <w:p w:rsidR="0079257B" w:rsidRPr="000C2077" w:rsidRDefault="0079257B" w:rsidP="0079257B">
      <w:pPr>
        <w:spacing w:after="100" w:afterAutospacing="1"/>
        <w:rPr>
          <w:rFonts w:cs="Arial"/>
          <w:lang w:val="sr-Latn-CS"/>
        </w:rPr>
      </w:pPr>
      <w:r w:rsidRPr="000C2077">
        <w:rPr>
          <w:rFonts w:cs="Arial"/>
          <w:lang w:val="sr-Latn-CS"/>
        </w:rPr>
        <w:t>-</w:t>
      </w:r>
      <w:r>
        <w:rPr>
          <w:rFonts w:cs="Arial"/>
        </w:rPr>
        <w:t>Јачање</w:t>
      </w:r>
      <w:r w:rsidRPr="000C2077">
        <w:rPr>
          <w:rFonts w:cs="Arial"/>
          <w:lang w:val="sr-Latn-CS"/>
        </w:rPr>
        <w:t xml:space="preserve">  </w:t>
      </w:r>
      <w:r>
        <w:rPr>
          <w:rFonts w:cs="Arial"/>
        </w:rPr>
        <w:t>васпитача</w:t>
      </w:r>
      <w:r w:rsidRPr="000C2077">
        <w:rPr>
          <w:rFonts w:cs="Arial"/>
          <w:lang w:val="sr-Latn-CS"/>
        </w:rPr>
        <w:t xml:space="preserve">  </w:t>
      </w:r>
      <w:r>
        <w:rPr>
          <w:rFonts w:cs="Arial"/>
        </w:rPr>
        <w:t>у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погледу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прихватања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родитеља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као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партнера</w:t>
      </w:r>
      <w:r w:rsidRPr="000C2077">
        <w:rPr>
          <w:rFonts w:cs="Arial"/>
          <w:lang w:val="sr-Latn-CS"/>
        </w:rPr>
        <w:t xml:space="preserve">  </w:t>
      </w:r>
      <w:r>
        <w:rPr>
          <w:rFonts w:cs="Arial"/>
        </w:rPr>
        <w:t>и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организовању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разних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видова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сарадње</w:t>
      </w:r>
      <w:r w:rsidRPr="000C2077">
        <w:rPr>
          <w:rFonts w:cs="Arial"/>
          <w:lang w:val="sr-Latn-CS"/>
        </w:rPr>
        <w:t>,</w:t>
      </w:r>
      <w:r>
        <w:rPr>
          <w:rFonts w:cs="Arial"/>
        </w:rPr>
        <w:t>где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јача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веза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на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релацији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васпитач</w:t>
      </w:r>
      <w:r w:rsidRPr="000C2077">
        <w:rPr>
          <w:rFonts w:cs="Arial"/>
          <w:lang w:val="sr-Latn-CS"/>
        </w:rPr>
        <w:t>-</w:t>
      </w:r>
      <w:r>
        <w:rPr>
          <w:rFonts w:cs="Arial"/>
        </w:rPr>
        <w:t>родитељ</w:t>
      </w:r>
      <w:r w:rsidRPr="000C2077">
        <w:rPr>
          <w:rFonts w:cs="Arial"/>
          <w:lang w:val="sr-Latn-CS"/>
        </w:rPr>
        <w:t>.</w:t>
      </w:r>
    </w:p>
    <w:p w:rsidR="0079257B" w:rsidRPr="000C2077" w:rsidRDefault="0079257B" w:rsidP="0079257B">
      <w:pPr>
        <w:spacing w:before="100" w:beforeAutospacing="1" w:after="100" w:afterAutospacing="1"/>
        <w:rPr>
          <w:rFonts w:cs="Arial"/>
          <w:lang w:val="sr-Latn-CS"/>
        </w:rPr>
      </w:pPr>
      <w:r w:rsidRPr="000C2077">
        <w:rPr>
          <w:rFonts w:cs="Arial"/>
          <w:lang w:val="sr-Latn-CS"/>
        </w:rPr>
        <w:lastRenderedPageBreak/>
        <w:t xml:space="preserve"> </w:t>
      </w:r>
      <w:r>
        <w:rPr>
          <w:rFonts w:cs="Arial"/>
        </w:rPr>
        <w:t>Ове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школске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године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оквиру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Програма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превенције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говорних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потешкоћа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одржана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0C2077">
        <w:rPr>
          <w:rFonts w:cs="Arial"/>
          <w:lang w:val="sr-Latn-CS"/>
        </w:rPr>
        <w:t xml:space="preserve"> 1.</w:t>
      </w:r>
      <w:r>
        <w:rPr>
          <w:rFonts w:cs="Arial"/>
        </w:rPr>
        <w:t>радионица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за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родитеље</w:t>
      </w:r>
      <w:r>
        <w:rPr>
          <w:rFonts w:cs="Arial"/>
          <w:lang w:val="sr-Cyrl-CS"/>
        </w:rPr>
        <w:t xml:space="preserve"> од стране логопеда</w:t>
      </w:r>
      <w:r w:rsidRPr="000C2077">
        <w:rPr>
          <w:rFonts w:cs="Arial"/>
          <w:lang w:val="sr-Latn-CS"/>
        </w:rPr>
        <w:t xml:space="preserve">  .</w:t>
      </w:r>
      <w:r>
        <w:rPr>
          <w:rFonts w:cs="Arial"/>
        </w:rPr>
        <w:t>Добијени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су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следећи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подаци</w:t>
      </w:r>
      <w:r w:rsidRPr="000C2077">
        <w:rPr>
          <w:rFonts w:cs="Arial"/>
          <w:lang w:val="sr-Latn-CS"/>
        </w:rPr>
        <w:t>:</w:t>
      </w:r>
    </w:p>
    <w:p w:rsidR="0079257B" w:rsidRPr="00411AC3" w:rsidRDefault="0079257B" w:rsidP="0079257B">
      <w:pPr>
        <w:spacing w:before="100" w:beforeAutospacing="1" w:after="0"/>
        <w:rPr>
          <w:rFonts w:cs="Arial"/>
          <w:lang w:val="sr-Cyrl-CS"/>
        </w:rPr>
      </w:pPr>
      <w:r w:rsidRPr="000C2077">
        <w:rPr>
          <w:rFonts w:cs="Arial"/>
          <w:lang w:val="sr-Latn-CS"/>
        </w:rPr>
        <w:t>-</w:t>
      </w:r>
      <w:r>
        <w:rPr>
          <w:rFonts w:cs="Arial"/>
          <w:lang w:val="sr-Cyrl-CS"/>
        </w:rPr>
        <w:t xml:space="preserve">каква је </w:t>
      </w:r>
      <w:r>
        <w:rPr>
          <w:rFonts w:cs="Arial"/>
        </w:rPr>
        <w:t>ракциј</w:t>
      </w:r>
      <w:r>
        <w:rPr>
          <w:rFonts w:cs="Arial"/>
          <w:lang w:val="sr-Cyrl-CS"/>
        </w:rPr>
        <w:t>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родитеља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на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дететов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</w:rPr>
        <w:t>неуспех</w:t>
      </w:r>
      <w:r w:rsidRPr="000C207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?</w:t>
      </w:r>
    </w:p>
    <w:p w:rsidR="0079257B" w:rsidRDefault="0079257B" w:rsidP="0079257B">
      <w:pPr>
        <w:spacing w:before="100" w:beforeAutospacing="1" w:after="0"/>
        <w:rPr>
          <w:rFonts w:cs="Arial"/>
          <w:lang w:val="sr-Cyrl-CS"/>
        </w:rPr>
      </w:pPr>
      <w:r>
        <w:rPr>
          <w:rFonts w:cs="Arial"/>
          <w:lang w:val="sr-Cyrl-CS"/>
        </w:rPr>
        <w:t>-како поступају родитељи када је код детета присутна говорна  потешкоћа?</w:t>
      </w:r>
    </w:p>
    <w:p w:rsidR="0079257B" w:rsidRDefault="0079257B" w:rsidP="0079257B">
      <w:pPr>
        <w:spacing w:before="100" w:beforeAutospacing="1" w:after="0"/>
        <w:rPr>
          <w:rFonts w:cs="Arial"/>
          <w:lang w:val="sr-Cyrl-CS"/>
        </w:rPr>
      </w:pPr>
      <w:r>
        <w:rPr>
          <w:rFonts w:cs="Arial"/>
          <w:lang w:val="sr-Cyrl-CS"/>
        </w:rPr>
        <w:t>-колике су компетенције родитеља за свестан подстицај говора ?</w:t>
      </w:r>
    </w:p>
    <w:p w:rsidR="0079257B" w:rsidRPr="000C3B8F" w:rsidRDefault="0079257B" w:rsidP="0079257B">
      <w:pPr>
        <w:spacing w:before="100" w:beforeAutospacing="1" w:after="0"/>
        <w:rPr>
          <w:rFonts w:cs="Arial"/>
          <w:lang w:val="sr-Cyrl-CS"/>
        </w:rPr>
      </w:pPr>
      <w:r>
        <w:rPr>
          <w:rFonts w:cs="Arial"/>
          <w:lang w:val="sr-Cyrl-CS"/>
        </w:rPr>
        <w:t>-колике су потребе родитеља за даље едукације о говорно-језичком развоју деце.?</w:t>
      </w:r>
    </w:p>
    <w:p w:rsidR="0079257B" w:rsidRPr="00127ECF" w:rsidRDefault="0079257B" w:rsidP="0079257B">
      <w:pPr>
        <w:spacing w:before="100" w:beforeAutospacing="1" w:after="0"/>
        <w:rPr>
          <w:rFonts w:cs="Arial"/>
          <w:lang w:val="sr-Cyrl-CS"/>
        </w:rPr>
      </w:pPr>
    </w:p>
    <w:p w:rsidR="0079257B" w:rsidRPr="00411AC3" w:rsidRDefault="0079257B" w:rsidP="0079257B">
      <w:pPr>
        <w:spacing w:after="100" w:afterAutospacing="1"/>
        <w:rPr>
          <w:rFonts w:cs="Arial"/>
          <w:lang w:val="sr-Cyrl-CS"/>
        </w:rPr>
      </w:pPr>
      <w:r w:rsidRPr="00127ECF">
        <w:rPr>
          <w:rFonts w:cs="Arial"/>
          <w:b/>
          <w:lang w:val="sr-Cyrl-CS"/>
        </w:rPr>
        <w:t>ЛОГОПЕДСК</w:t>
      </w:r>
      <w:r>
        <w:rPr>
          <w:rFonts w:cs="Arial"/>
          <w:b/>
          <w:lang w:val="sr-Cyrl-CS"/>
        </w:rPr>
        <w:t xml:space="preserve"> А </w:t>
      </w:r>
      <w:r w:rsidRPr="00127ECF">
        <w:rPr>
          <w:rFonts w:cs="Arial"/>
          <w:b/>
          <w:lang w:val="sr-Cyrl-CS"/>
        </w:rPr>
        <w:t>ТЕРАПИЈЕ</w:t>
      </w:r>
      <w:r>
        <w:rPr>
          <w:rFonts w:cs="Arial"/>
          <w:b/>
          <w:lang w:val="sr-Cyrl-CS"/>
        </w:rPr>
        <w:t xml:space="preserve"> </w:t>
      </w:r>
      <w:r w:rsidRPr="00127ECF">
        <w:rPr>
          <w:rFonts w:cs="Arial"/>
          <w:b/>
          <w:lang w:val="sr-Cyrl-CS"/>
        </w:rPr>
        <w:t xml:space="preserve"> </w:t>
      </w:r>
      <w:r w:rsidRPr="00127ECF">
        <w:rPr>
          <w:rFonts w:cs="Arial"/>
          <w:lang w:val="sr-Cyrl-CS"/>
        </w:rPr>
        <w:t xml:space="preserve"> </w:t>
      </w:r>
      <w:r w:rsidRPr="00127ECF">
        <w:rPr>
          <w:rFonts w:cs="Arial"/>
          <w:b/>
          <w:lang w:val="sr-Cyrl-CS"/>
        </w:rPr>
        <w:t xml:space="preserve">  </w:t>
      </w:r>
      <w:r w:rsidRPr="00127ECF">
        <w:rPr>
          <w:rFonts w:cs="Arial"/>
          <w:lang w:val="sr-Cyrl-CS"/>
        </w:rPr>
        <w:t xml:space="preserve">спроводе </w:t>
      </w:r>
      <w:r>
        <w:rPr>
          <w:rFonts w:cs="Arial"/>
          <w:lang w:val="sr-Cyrl-CS"/>
        </w:rPr>
        <w:t xml:space="preserve"> 2 </w:t>
      </w:r>
      <w:r w:rsidRPr="00127ECF">
        <w:rPr>
          <w:rFonts w:cs="Arial"/>
          <w:lang w:val="sr-Cyrl-CS"/>
        </w:rPr>
        <w:t>логопед</w:t>
      </w:r>
      <w:r>
        <w:rPr>
          <w:rFonts w:cs="Arial"/>
          <w:lang w:val="sr-Cyrl-CS"/>
        </w:rPr>
        <w:t>а</w:t>
      </w:r>
      <w:r w:rsidRPr="00127ECF">
        <w:rPr>
          <w:rFonts w:cs="Arial"/>
          <w:lang w:val="sr-Cyrl-CS"/>
        </w:rPr>
        <w:t xml:space="preserve"> на основу  процени логопедског статуса детета.</w:t>
      </w:r>
    </w:p>
    <w:p w:rsidR="0079257B" w:rsidRPr="000C3B8F" w:rsidRDefault="0079257B" w:rsidP="0079257B">
      <w:pPr>
        <w:pStyle w:val="NoSpacing"/>
        <w:rPr>
          <w:noProof/>
          <w:lang w:val="sr-Cyrl-CS"/>
        </w:rPr>
      </w:pPr>
      <w:r w:rsidRPr="002C2BA6">
        <w:rPr>
          <w:noProof/>
          <w:lang w:val="sr-Cyrl-CS"/>
        </w:rPr>
        <w:t xml:space="preserve">Логопедски третмани су се одвијали у </w:t>
      </w:r>
      <w:r w:rsidRPr="002C2BA6">
        <w:rPr>
          <w:noProof/>
          <w:lang w:val="sr-Latn-CS"/>
        </w:rPr>
        <w:t xml:space="preserve">три </w:t>
      </w:r>
      <w:r w:rsidRPr="002C2BA6">
        <w:rPr>
          <w:noProof/>
          <w:lang w:val="sr-Cyrl-CS"/>
        </w:rPr>
        <w:t>логопедска кабинета,по распореду примања деце на третман.Заступљени су били и облици рада са децом индивидуално,у пару,као и у малим групама.Децу на индивидуалне терапије су доводили родитељи,и ту су логопедски третмани најефикаснији,због сталне могућности сарадње са родитељима.Логопедки третмани су се одвијали једном недељно</w:t>
      </w:r>
      <w:r w:rsidRPr="002C2BA6">
        <w:rPr>
          <w:noProof/>
          <w:lang w:val="sr-Latn-CS"/>
        </w:rPr>
        <w:t xml:space="preserve"> или 2 пута у току месеца или месечно једном</w:t>
      </w:r>
      <w:r>
        <w:rPr>
          <w:noProof/>
          <w:lang w:val="sr-Cyrl-CS"/>
        </w:rPr>
        <w:t>.</w:t>
      </w:r>
    </w:p>
    <w:p w:rsidR="0079257B" w:rsidRPr="002C2BA6" w:rsidRDefault="0079257B" w:rsidP="0079257B">
      <w:pPr>
        <w:spacing w:after="0"/>
        <w:rPr>
          <w:rFonts w:ascii="Calibri" w:hAnsi="Calibri"/>
          <w:lang w:val="sr-Latn-CS"/>
        </w:rPr>
      </w:pPr>
    </w:p>
    <w:p w:rsidR="0079257B" w:rsidRPr="00FB147A" w:rsidRDefault="0079257B" w:rsidP="0079257B">
      <w:pPr>
        <w:rPr>
          <w:lang w:val="sr-Cyrl-CS"/>
        </w:rPr>
      </w:pPr>
    </w:p>
    <w:p w:rsidR="0079257B" w:rsidRDefault="001E4CAA">
      <w:r w:rsidRPr="001E4CAA">
        <w:rPr>
          <w:lang w:val="sr-Cyrl-CS"/>
        </w:rPr>
        <w:lastRenderedPageBreak/>
        <w:drawing>
          <wp:inline distT="0" distB="0" distL="0" distR="0">
            <wp:extent cx="5286375" cy="4648200"/>
            <wp:effectExtent l="1905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357E5" w:rsidRDefault="00D357E5"/>
    <w:p w:rsidR="00D357E5" w:rsidRDefault="00D357E5"/>
    <w:p w:rsidR="00D357E5" w:rsidRDefault="00D357E5"/>
    <w:tbl>
      <w:tblPr>
        <w:tblStyle w:val="TableGrid"/>
        <w:tblpPr w:leftFromText="180" w:rightFromText="180" w:vertAnchor="text" w:horzAnchor="margin" w:tblpY="-111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9686"/>
      </w:tblGrid>
      <w:tr w:rsidR="00D357E5" w:rsidTr="00FC1121">
        <w:trPr>
          <w:trHeight w:val="1579"/>
          <w:tblCellSpacing w:w="20" w:type="dxa"/>
        </w:trPr>
        <w:tc>
          <w:tcPr>
            <w:tcW w:w="960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D357E5" w:rsidRDefault="00D357E5" w:rsidP="00FC1121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</w:p>
          <w:p w:rsidR="00D357E5" w:rsidRPr="00B34667" w:rsidRDefault="00D357E5" w:rsidP="00FC1121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B34667">
              <w:rPr>
                <w:b/>
                <w:noProof/>
                <w:sz w:val="24"/>
                <w:szCs w:val="24"/>
                <w:lang w:val="sr-Latn-CS"/>
              </w:rPr>
              <w:t>Број деце укључене у логопедск</w:t>
            </w:r>
            <w:r w:rsidRPr="00B34667">
              <w:rPr>
                <w:b/>
                <w:noProof/>
                <w:sz w:val="24"/>
                <w:szCs w:val="24"/>
                <w:lang w:val="sr-Cyrl-CS"/>
              </w:rPr>
              <w:t>и</w:t>
            </w:r>
          </w:p>
          <w:p w:rsidR="00D357E5" w:rsidRPr="00B34667" w:rsidRDefault="00D357E5" w:rsidP="00FC1121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Latn-CS"/>
              </w:rPr>
            </w:pPr>
          </w:p>
          <w:p w:rsidR="00D357E5" w:rsidRPr="00B34667" w:rsidRDefault="00D357E5" w:rsidP="00FC1121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B34667">
              <w:rPr>
                <w:b/>
                <w:noProof/>
                <w:sz w:val="24"/>
                <w:szCs w:val="24"/>
                <w:lang w:val="sr-Latn-CS"/>
              </w:rPr>
              <w:t>третман са наведеним облицима говорне патологије</w:t>
            </w:r>
            <w:r w:rsidRPr="00B34667">
              <w:rPr>
                <w:b/>
                <w:noProof/>
                <w:sz w:val="24"/>
                <w:szCs w:val="24"/>
                <w:lang w:val="sr-Cyrl-CS"/>
              </w:rPr>
              <w:t>:</w:t>
            </w:r>
            <w:r w:rsidRPr="00B34667">
              <w:rPr>
                <w:b/>
                <w:noProof/>
                <w:sz w:val="24"/>
                <w:szCs w:val="24"/>
                <w:lang w:val="sr-Latn-CS"/>
              </w:rPr>
              <w:t xml:space="preserve"> </w:t>
            </w:r>
          </w:p>
          <w:p w:rsidR="00D357E5" w:rsidRDefault="00D357E5" w:rsidP="00FC1121">
            <w:pPr>
              <w:pStyle w:val="NoSpacing"/>
              <w:jc w:val="center"/>
              <w:rPr>
                <w:rFonts w:ascii="Arial Narrow" w:hAnsi="Arial Narrow"/>
                <w:b/>
                <w:i/>
                <w:noProof/>
                <w:sz w:val="24"/>
                <w:szCs w:val="24"/>
                <w:lang w:val="sr-Cyrl-CS"/>
              </w:rPr>
            </w:pPr>
          </w:p>
          <w:p w:rsidR="00D357E5" w:rsidRDefault="00D357E5" w:rsidP="00FC1121">
            <w:pPr>
              <w:pStyle w:val="NoSpacing"/>
              <w:jc w:val="center"/>
              <w:rPr>
                <w:rFonts w:ascii="Arial Narrow" w:hAnsi="Arial Narrow"/>
                <w:b/>
                <w:i/>
                <w:noProof/>
                <w:sz w:val="24"/>
                <w:szCs w:val="24"/>
                <w:lang w:val="sr-Cyrl-CS"/>
              </w:rPr>
            </w:pPr>
          </w:p>
          <w:p w:rsidR="00D357E5" w:rsidRPr="00B34667" w:rsidRDefault="00D357E5" w:rsidP="00FC1121">
            <w:pPr>
              <w:pStyle w:val="NoSpacing"/>
              <w:rPr>
                <w:noProof/>
                <w:sz w:val="24"/>
                <w:szCs w:val="24"/>
                <w:lang w:val="sr-Cyrl-CS"/>
              </w:rPr>
            </w:pPr>
            <w:r w:rsidRPr="00B34667">
              <w:rPr>
                <w:noProof/>
                <w:sz w:val="24"/>
                <w:szCs w:val="24"/>
                <w:lang w:val="sr-Cyrl-CS"/>
              </w:rPr>
              <w:t>Логопедски третмани су се одвијали у два логопедска кабинета,по распореду примања деце на третман.Заступљени су били и обли</w:t>
            </w:r>
            <w:r>
              <w:rPr>
                <w:noProof/>
                <w:sz w:val="24"/>
                <w:szCs w:val="24"/>
                <w:lang w:val="sr-Cyrl-CS"/>
              </w:rPr>
              <w:t>ци рада са децом индивидуално(</w:t>
            </w:r>
            <w:r w:rsidRPr="00FB147A">
              <w:rPr>
                <w:noProof/>
                <w:sz w:val="24"/>
                <w:szCs w:val="24"/>
                <w:lang w:val="sr-Cyrl-CS"/>
              </w:rPr>
              <w:t>22</w:t>
            </w:r>
            <w:r>
              <w:rPr>
                <w:noProof/>
                <w:sz w:val="24"/>
                <w:szCs w:val="24"/>
                <w:lang w:val="sr-Cyrl-CS"/>
              </w:rPr>
              <w:t>),у малим групама(</w:t>
            </w:r>
            <w:r w:rsidRPr="00095ECF">
              <w:rPr>
                <w:noProof/>
                <w:sz w:val="24"/>
                <w:szCs w:val="24"/>
                <w:lang w:val="sr-Cyrl-CS"/>
              </w:rPr>
              <w:t>71</w:t>
            </w:r>
            <w:r w:rsidRPr="00B34667">
              <w:rPr>
                <w:noProof/>
                <w:sz w:val="24"/>
                <w:szCs w:val="24"/>
                <w:lang w:val="sr-Cyrl-CS"/>
              </w:rPr>
              <w:t>).Децу на индивидуалне терапије су доводили родитељи,и ту су логопедски третмани најефикаснији,због сталне могућности сарадње са родитељима.Логопедки третмани су се одвијали једном недељно.</w:t>
            </w:r>
          </w:p>
          <w:p w:rsidR="00D357E5" w:rsidRDefault="00D357E5" w:rsidP="00FC1121">
            <w:pPr>
              <w:pStyle w:val="NoSpacing"/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 w:rsidRPr="00B34667">
              <w:rPr>
                <w:noProof/>
                <w:sz w:val="24"/>
                <w:szCs w:val="24"/>
                <w:lang w:val="sr-Cyrl-CS"/>
              </w:rPr>
              <w:t>Ло</w:t>
            </w:r>
            <w:r>
              <w:rPr>
                <w:noProof/>
                <w:sz w:val="24"/>
                <w:szCs w:val="24"/>
                <w:lang w:val="sr-Cyrl-CS"/>
              </w:rPr>
              <w:t xml:space="preserve">гопедске третмане је завршило </w:t>
            </w:r>
            <w:r w:rsidRPr="009364AC">
              <w:rPr>
                <w:noProof/>
                <w:sz w:val="24"/>
                <w:szCs w:val="24"/>
                <w:lang w:val="sr-Cyrl-CS"/>
              </w:rPr>
              <w:t>40</w:t>
            </w:r>
            <w:r w:rsidRPr="00B34667">
              <w:rPr>
                <w:noProof/>
                <w:sz w:val="24"/>
                <w:szCs w:val="24"/>
                <w:lang w:val="sr-Cyrl-CS"/>
              </w:rPr>
              <w:t xml:space="preserve"> деце, а остали се планирају обухватити и следеће школске године</w:t>
            </w: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.</w:t>
            </w:r>
          </w:p>
          <w:p w:rsidR="00D357E5" w:rsidRDefault="00D357E5" w:rsidP="00FC1121">
            <w:pPr>
              <w:pStyle w:val="NoSpacing"/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</w:p>
          <w:tbl>
            <w:tblPr>
              <w:tblStyle w:val="LightList-Accent2"/>
              <w:tblpPr w:leftFromText="180" w:rightFromText="180" w:vertAnchor="text" w:horzAnchor="margin" w:tblpY="443"/>
              <w:tblW w:w="8790" w:type="dxa"/>
              <w:tblBorders>
                <w:insideH w:val="single" w:sz="8" w:space="0" w:color="C0504D" w:themeColor="accent2"/>
                <w:insideV w:val="single" w:sz="8" w:space="0" w:color="C0504D" w:themeColor="accent2"/>
              </w:tblBorders>
              <w:tblLook w:val="04A0"/>
            </w:tblPr>
            <w:tblGrid>
              <w:gridCol w:w="2092"/>
              <w:gridCol w:w="1554"/>
              <w:gridCol w:w="1280"/>
              <w:gridCol w:w="1134"/>
              <w:gridCol w:w="992"/>
              <w:gridCol w:w="998"/>
              <w:gridCol w:w="740"/>
            </w:tblGrid>
            <w:tr w:rsidR="00D357E5" w:rsidRPr="00D357E5" w:rsidTr="00FC1121">
              <w:trPr>
                <w:cnfStyle w:val="100000000000"/>
                <w:trHeight w:val="402"/>
              </w:trPr>
              <w:tc>
                <w:tcPr>
                  <w:cnfStyle w:val="001000000000"/>
                  <w:tcW w:w="8792" w:type="dxa"/>
                  <w:gridSpan w:val="7"/>
                  <w:shd w:val="clear" w:color="auto" w:fill="C2D69B" w:themeFill="accent3" w:themeFillTint="99"/>
                  <w:hideMark/>
                </w:tcPr>
                <w:p w:rsidR="00D357E5" w:rsidRDefault="00D357E5" w:rsidP="00FC1121">
                  <w:pPr>
                    <w:pStyle w:val="NoSpacing"/>
                    <w:jc w:val="center"/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Заступљеност деце на говорним терапијама ,по врстама говорних поремећаја , по узрасту  у шк.2013-2014 годину по логопеду</w:t>
                  </w:r>
                </w:p>
              </w:tc>
            </w:tr>
            <w:tr w:rsidR="00D357E5" w:rsidTr="00FC1121">
              <w:trPr>
                <w:cnfStyle w:val="000000100000"/>
                <w:trHeight w:val="411"/>
              </w:trPr>
              <w:tc>
                <w:tcPr>
                  <w:cnfStyle w:val="001000000000"/>
                  <w:tcW w:w="2093" w:type="dxa"/>
                  <w:vMerge w:val="restart"/>
                  <w:tcBorders>
                    <w:top w:val="nil"/>
                    <w:right w:val="nil"/>
                  </w:tcBorders>
                  <w:shd w:val="clear" w:color="auto" w:fill="D6E3BC" w:themeFill="accent3" w:themeFillTint="66"/>
                </w:tcPr>
                <w:p w:rsidR="00D357E5" w:rsidRDefault="00D357E5" w:rsidP="00FC1121">
                  <w:pPr>
                    <w:pStyle w:val="NoSpacing"/>
                    <w:rPr>
                      <w:rFonts w:ascii="Arial Narrow" w:hAnsi="Arial Narrow"/>
                      <w:b w:val="0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 w:val="0"/>
                      <w:noProof/>
                      <w:color w:val="000000" w:themeColor="text1"/>
                      <w:sz w:val="24"/>
                      <w:szCs w:val="24"/>
                    </w:rPr>
                    <w:t>Врста поремећаја</w:t>
                  </w:r>
                </w:p>
                <w:p w:rsidR="00D357E5" w:rsidRDefault="00D357E5" w:rsidP="00FC1121">
                  <w:pPr>
                    <w:pStyle w:val="NoSpacing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4" w:type="dxa"/>
                  <w:vMerge w:val="restart"/>
                  <w:tcBorders>
                    <w:top w:val="nil"/>
                    <w:left w:val="single" w:sz="8" w:space="0" w:color="C0504D" w:themeColor="accent2"/>
                    <w:right w:val="single" w:sz="8" w:space="0" w:color="C0504D" w:themeColor="accent2"/>
                  </w:tcBorders>
                  <w:shd w:val="clear" w:color="auto" w:fill="D6E3BC" w:themeFill="accent3" w:themeFillTint="66"/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</w:rPr>
                    <w:t>Број деце са одређеним потешкоћама</w:t>
                  </w:r>
                </w:p>
              </w:tc>
              <w:tc>
                <w:tcPr>
                  <w:tcW w:w="5145" w:type="dxa"/>
                  <w:gridSpan w:val="5"/>
                  <w:tcBorders>
                    <w:top w:val="nil"/>
                    <w:left w:val="nil"/>
                    <w:bottom w:val="nil"/>
                  </w:tcBorders>
                  <w:shd w:val="clear" w:color="auto" w:fill="D6E3BC" w:themeFill="accent3" w:themeFillTint="66"/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/>
                      <w:noProof/>
                      <w:color w:val="000000" w:themeColor="text1"/>
                      <w:sz w:val="24"/>
                      <w:szCs w:val="24"/>
                    </w:rPr>
                    <w:t>Година рођења детета</w:t>
                  </w:r>
                </w:p>
              </w:tc>
            </w:tr>
            <w:tr w:rsidR="00D357E5" w:rsidRPr="001967C3" w:rsidTr="00FC1121">
              <w:trPr>
                <w:trHeight w:val="393"/>
              </w:trPr>
              <w:tc>
                <w:tcPr>
                  <w:cnfStyle w:val="001000000000"/>
                  <w:tcW w:w="8792" w:type="dxa"/>
                  <w:vMerge/>
                  <w:tcBorders>
                    <w:top w:val="nil"/>
                    <w:right w:val="nil"/>
                  </w:tcBorders>
                  <w:vAlign w:val="center"/>
                  <w:hideMark/>
                </w:tcPr>
                <w:p w:rsidR="00D357E5" w:rsidRDefault="00D357E5" w:rsidP="00FC1121">
                  <w:pPr>
                    <w:spacing w:after="0" w:line="240" w:lineRule="auto"/>
                    <w:rPr>
                      <w:rFonts w:ascii="Arial Narrow" w:eastAsiaTheme="majorEastAsia" w:hAnsi="Arial Narrow" w:cstheme="majorBidi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4" w:type="dxa"/>
                  <w:vMerge/>
                  <w:tcBorders>
                    <w:top w:val="nil"/>
                    <w:left w:val="single" w:sz="8" w:space="0" w:color="C0504D" w:themeColor="accent2"/>
                    <w:right w:val="single" w:sz="8" w:space="0" w:color="C0504D" w:themeColor="accent2"/>
                  </w:tcBorders>
                  <w:vAlign w:val="center"/>
                  <w:hideMark/>
                </w:tcPr>
                <w:p w:rsidR="00D357E5" w:rsidRDefault="00D357E5" w:rsidP="00FC1121">
                  <w:pPr>
                    <w:spacing w:after="0" w:line="240" w:lineRule="auto"/>
                    <w:cnfStyle w:val="000000000000"/>
                    <w:rPr>
                      <w:rFonts w:ascii="Arial Narrow" w:eastAsiaTheme="majorEastAsia" w:hAnsi="Arial Narrow" w:cstheme="majorBidi"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81" w:type="dxa"/>
                  <w:tcBorders>
                    <w:left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  <w:t>200</w:t>
                  </w: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  <w:t>200</w:t>
                  </w: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left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  <w:t>200</w:t>
                  </w: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9</w:t>
                  </w:r>
                </w:p>
              </w:tc>
              <w:tc>
                <w:tcPr>
                  <w:tcW w:w="998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  <w:t>20</w:t>
                  </w: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10</w:t>
                  </w:r>
                </w:p>
              </w:tc>
              <w:tc>
                <w:tcPr>
                  <w:tcW w:w="740" w:type="dxa"/>
                  <w:tcBorders>
                    <w:left w:val="nil"/>
                  </w:tcBorders>
                  <w:hideMark/>
                </w:tcPr>
                <w:p w:rsidR="00D357E5" w:rsidRPr="001967C3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 w:rsidRPr="001967C3"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</w:rPr>
                    <w:t>201</w:t>
                  </w:r>
                  <w:r w:rsidRPr="001967C3"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</w:tr>
            <w:tr w:rsidR="00D357E5" w:rsidTr="00FC1121">
              <w:trPr>
                <w:cnfStyle w:val="000000100000"/>
                <w:trHeight w:val="254"/>
              </w:trPr>
              <w:tc>
                <w:tcPr>
                  <w:cnfStyle w:val="001000000000"/>
                  <w:tcW w:w="2093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  <w:t>Поремећај артикулације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75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16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</w:tcBorders>
                  <w:hideMark/>
                </w:tcPr>
                <w:p w:rsidR="00D357E5" w:rsidRPr="001967C3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 w:rsidRPr="001967C3"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</w:tr>
            <w:tr w:rsidR="00D357E5" w:rsidTr="00FC1121">
              <w:tc>
                <w:tcPr>
                  <w:cnfStyle w:val="001000000000"/>
                  <w:tcW w:w="2093" w:type="dxa"/>
                  <w:tcBorders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Закаснео говорно-језички развој</w:t>
                  </w:r>
                </w:p>
              </w:tc>
              <w:tc>
                <w:tcPr>
                  <w:tcW w:w="155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5</w:t>
                  </w:r>
                </w:p>
              </w:tc>
              <w:tc>
                <w:tcPr>
                  <w:tcW w:w="1281" w:type="dxa"/>
                  <w:tcBorders>
                    <w:left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left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998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lef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357E5" w:rsidTr="00FC1121">
              <w:trPr>
                <w:cnfStyle w:val="000000100000"/>
              </w:trPr>
              <w:tc>
                <w:tcPr>
                  <w:cnfStyle w:val="001000000000"/>
                  <w:tcW w:w="2093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  <w:t>Поремећај пажње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357E5" w:rsidTr="00FC1121">
              <w:tc>
                <w:tcPr>
                  <w:cnfStyle w:val="001000000000"/>
                  <w:tcW w:w="2093" w:type="dxa"/>
                  <w:tcBorders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  <w:t xml:space="preserve">Оштећење </w:t>
                  </w: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слуха</w:t>
                  </w:r>
                </w:p>
              </w:tc>
              <w:tc>
                <w:tcPr>
                  <w:tcW w:w="155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left w:val="nil"/>
                    <w:righ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left w:val="nil"/>
                    <w:righ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lef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357E5" w:rsidTr="00FC1121">
              <w:trPr>
                <w:cnfStyle w:val="000000100000"/>
              </w:trPr>
              <w:tc>
                <w:tcPr>
                  <w:cnfStyle w:val="001000000000"/>
                  <w:tcW w:w="2093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  <w:t>Развојна дисфазија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4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998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357E5" w:rsidTr="00FC1121">
              <w:tc>
                <w:tcPr>
                  <w:cnfStyle w:val="001000000000"/>
                  <w:tcW w:w="2093" w:type="dxa"/>
                  <w:tcBorders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  <w:t>Poreme</w:t>
                  </w: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 xml:space="preserve">ћај ритма и темпа </w:t>
                  </w:r>
                </w:p>
              </w:tc>
              <w:tc>
                <w:tcPr>
                  <w:tcW w:w="155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left w:val="nil"/>
                    <w:righ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left w:val="nil"/>
                    <w:righ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998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740" w:type="dxa"/>
                  <w:tcBorders>
                    <w:left w:val="nil"/>
                  </w:tcBorders>
                  <w:hideMark/>
                </w:tcPr>
                <w:p w:rsidR="00D357E5" w:rsidRPr="001967C3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 w:rsidRPr="001967C3"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</w:tr>
            <w:tr w:rsidR="00D357E5" w:rsidTr="00FC1121">
              <w:trPr>
                <w:cnfStyle w:val="000000100000"/>
              </w:trPr>
              <w:tc>
                <w:tcPr>
                  <w:cnfStyle w:val="001000000000"/>
                  <w:tcW w:w="2093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Успорени психомоторни развој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357E5" w:rsidTr="00FC1121">
              <w:tc>
                <w:tcPr>
                  <w:cnfStyle w:val="001000000000"/>
                  <w:tcW w:w="2093" w:type="dxa"/>
                  <w:tcBorders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Моторна незрелост</w:t>
                  </w:r>
                </w:p>
              </w:tc>
              <w:tc>
                <w:tcPr>
                  <w:tcW w:w="155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left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left w:val="nil"/>
                    <w:righ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lef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357E5" w:rsidTr="00FC1121">
              <w:trPr>
                <w:cnfStyle w:val="000000100000"/>
              </w:trPr>
              <w:tc>
                <w:tcPr>
                  <w:cnfStyle w:val="001000000000"/>
                  <w:tcW w:w="2093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Церебрална парализа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3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357E5" w:rsidTr="00FC1121">
              <w:tc>
                <w:tcPr>
                  <w:cnfStyle w:val="001000000000"/>
                  <w:tcW w:w="2093" w:type="dxa"/>
                  <w:tcBorders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Елективни мутизам</w:t>
                  </w:r>
                </w:p>
              </w:tc>
              <w:tc>
                <w:tcPr>
                  <w:tcW w:w="155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left w:val="nil"/>
                    <w:right w:val="nil"/>
                  </w:tcBorders>
                  <w:hideMark/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left w:val="nil"/>
                    <w:righ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left w:val="nil"/>
                  </w:tcBorders>
                </w:tcPr>
                <w:p w:rsidR="00D357E5" w:rsidRDefault="00D357E5" w:rsidP="00FC1121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357E5" w:rsidTr="00FC1121">
              <w:trPr>
                <w:cnfStyle w:val="000000100000"/>
                <w:trHeight w:val="263"/>
              </w:trPr>
              <w:tc>
                <w:tcPr>
                  <w:cnfStyle w:val="001000000000"/>
                  <w:tcW w:w="2093" w:type="dxa"/>
                  <w:tcBorders>
                    <w:top w:val="double" w:sz="6" w:space="0" w:color="C0504D" w:themeColor="accent2"/>
                    <w:right w:val="nil"/>
                  </w:tcBorders>
                  <w:shd w:val="clear" w:color="auto" w:fill="D6E3BC" w:themeFill="accent3" w:themeFillTint="66"/>
                  <w:hideMark/>
                </w:tcPr>
                <w:p w:rsidR="00D357E5" w:rsidRDefault="00D357E5" w:rsidP="00FC1121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  <w:t>Укупно</w:t>
                  </w:r>
                </w:p>
              </w:tc>
              <w:tc>
                <w:tcPr>
                  <w:tcW w:w="1554" w:type="dxa"/>
                  <w:tcBorders>
                    <w:top w:val="double" w:sz="6" w:space="0" w:color="C0504D" w:themeColor="accent2"/>
                    <w:left w:val="single" w:sz="8" w:space="0" w:color="C0504D" w:themeColor="accent2"/>
                    <w:right w:val="single" w:sz="8" w:space="0" w:color="C0504D" w:themeColor="accent2"/>
                  </w:tcBorders>
                  <w:shd w:val="clear" w:color="auto" w:fill="D6E3BC" w:themeFill="accent3" w:themeFillTint="66"/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93</w:t>
                  </w:r>
                </w:p>
              </w:tc>
              <w:tc>
                <w:tcPr>
                  <w:tcW w:w="1281" w:type="dxa"/>
                  <w:tcBorders>
                    <w:top w:val="double" w:sz="6" w:space="0" w:color="C0504D" w:themeColor="accent2"/>
                    <w:left w:val="nil"/>
                    <w:right w:val="nil"/>
                  </w:tcBorders>
                  <w:shd w:val="clear" w:color="auto" w:fill="D6E3BC" w:themeFill="accent3" w:themeFillTint="66"/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31</w:t>
                  </w:r>
                </w:p>
              </w:tc>
              <w:tc>
                <w:tcPr>
                  <w:tcW w:w="1134" w:type="dxa"/>
                  <w:tcBorders>
                    <w:top w:val="double" w:sz="6" w:space="0" w:color="C0504D" w:themeColor="accent2"/>
                    <w:left w:val="single" w:sz="8" w:space="0" w:color="C0504D" w:themeColor="accent2"/>
                    <w:right w:val="single" w:sz="8" w:space="0" w:color="C0504D" w:themeColor="accent2"/>
                  </w:tcBorders>
                  <w:shd w:val="clear" w:color="auto" w:fill="D6E3BC" w:themeFill="accent3" w:themeFillTint="66"/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41</w:t>
                  </w:r>
                </w:p>
              </w:tc>
              <w:tc>
                <w:tcPr>
                  <w:tcW w:w="992" w:type="dxa"/>
                  <w:tcBorders>
                    <w:top w:val="double" w:sz="6" w:space="0" w:color="C0504D" w:themeColor="accent2"/>
                    <w:left w:val="nil"/>
                    <w:right w:val="nil"/>
                  </w:tcBorders>
                  <w:shd w:val="clear" w:color="auto" w:fill="D6E3BC" w:themeFill="accent3" w:themeFillTint="66"/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18</w:t>
                  </w:r>
                </w:p>
              </w:tc>
              <w:tc>
                <w:tcPr>
                  <w:tcW w:w="998" w:type="dxa"/>
                  <w:tcBorders>
                    <w:top w:val="double" w:sz="6" w:space="0" w:color="C0504D" w:themeColor="accent2"/>
                    <w:left w:val="single" w:sz="8" w:space="0" w:color="C0504D" w:themeColor="accent2"/>
                    <w:right w:val="single" w:sz="8" w:space="0" w:color="C0504D" w:themeColor="accent2"/>
                  </w:tcBorders>
                  <w:shd w:val="clear" w:color="auto" w:fill="D6E3BC" w:themeFill="accent3" w:themeFillTint="66"/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4</w:t>
                  </w:r>
                </w:p>
              </w:tc>
              <w:tc>
                <w:tcPr>
                  <w:tcW w:w="740" w:type="dxa"/>
                  <w:tcBorders>
                    <w:top w:val="double" w:sz="6" w:space="0" w:color="C0504D" w:themeColor="accent2"/>
                    <w:left w:val="nil"/>
                  </w:tcBorders>
                  <w:shd w:val="clear" w:color="auto" w:fill="D6E3BC" w:themeFill="accent3" w:themeFillTint="66"/>
                  <w:hideMark/>
                </w:tcPr>
                <w:p w:rsidR="00D357E5" w:rsidRDefault="00D357E5" w:rsidP="00FC1121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3</w:t>
                  </w:r>
                </w:p>
              </w:tc>
            </w:tr>
          </w:tbl>
          <w:p w:rsidR="00D357E5" w:rsidRDefault="00D357E5" w:rsidP="00FC1121">
            <w:pPr>
              <w:spacing w:after="0" w:line="240" w:lineRule="auto"/>
              <w:jc w:val="both"/>
              <w:rPr>
                <w:i/>
                <w:iCs/>
                <w:noProof/>
                <w:sz w:val="24"/>
                <w:szCs w:val="24"/>
                <w:lang w:val="sr-Cyrl-CS" w:bidi="en-US"/>
              </w:rPr>
            </w:pPr>
          </w:p>
        </w:tc>
      </w:tr>
    </w:tbl>
    <w:p w:rsidR="00D357E5" w:rsidRPr="0057090B" w:rsidRDefault="00D357E5" w:rsidP="00D357E5">
      <w:pPr>
        <w:rPr>
          <w:lang w:val="sr-Cyrl-CS"/>
        </w:rPr>
      </w:pPr>
    </w:p>
    <w:p w:rsidR="00D357E5" w:rsidRDefault="00D357E5"/>
    <w:p w:rsidR="00D357E5" w:rsidRPr="00D357E5" w:rsidRDefault="00D357E5"/>
    <w:sectPr w:rsidR="00D357E5" w:rsidRPr="00D357E5" w:rsidSect="00C752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B7A35"/>
    <w:multiLevelType w:val="hybridMultilevel"/>
    <w:tmpl w:val="31F885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79257B"/>
    <w:rsid w:val="001E4CAA"/>
    <w:rsid w:val="006740B3"/>
    <w:rsid w:val="007116A1"/>
    <w:rsid w:val="00772974"/>
    <w:rsid w:val="0079257B"/>
    <w:rsid w:val="009D7B51"/>
    <w:rsid w:val="00C7524F"/>
    <w:rsid w:val="00D357E5"/>
    <w:rsid w:val="00DA1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7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7B5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D7B51"/>
    <w:pPr>
      <w:keepNext/>
      <w:spacing w:after="0" w:line="240" w:lineRule="auto"/>
      <w:jc w:val="right"/>
      <w:outlineLvl w:val="2"/>
    </w:pPr>
    <w:rPr>
      <w:rFonts w:ascii="Bookman Old Style" w:hAnsi="Bookman Old Style"/>
      <w:b/>
      <w:bCs/>
      <w:sz w:val="28"/>
      <w:szCs w:val="24"/>
      <w:lang w:val="hr-HR" w:eastAsia="hr-HR"/>
    </w:rPr>
  </w:style>
  <w:style w:type="paragraph" w:styleId="Heading6">
    <w:name w:val="heading 6"/>
    <w:basedOn w:val="Normal"/>
    <w:next w:val="Normal"/>
    <w:link w:val="Heading6Char"/>
    <w:qFormat/>
    <w:rsid w:val="009D7B51"/>
    <w:pPr>
      <w:spacing w:before="240" w:after="60" w:line="240" w:lineRule="auto"/>
      <w:outlineLvl w:val="5"/>
    </w:pPr>
    <w:rPr>
      <w:b/>
      <w:bCs/>
      <w:sz w:val="20"/>
      <w:szCs w:val="20"/>
      <w:lang w:val="sr-Cyrl-C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7B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9D7B51"/>
    <w:rPr>
      <w:rFonts w:ascii="Bookman Old Style" w:eastAsia="Times New Roman" w:hAnsi="Bookman Old Style" w:cs="Times New Roman"/>
      <w:b/>
      <w:bCs/>
      <w:sz w:val="28"/>
      <w:szCs w:val="24"/>
      <w:lang w:val="hr-HR" w:eastAsia="hr-HR"/>
    </w:rPr>
  </w:style>
  <w:style w:type="character" w:customStyle="1" w:styleId="Heading6Char">
    <w:name w:val="Heading 6 Char"/>
    <w:basedOn w:val="DefaultParagraphFont"/>
    <w:link w:val="Heading6"/>
    <w:rsid w:val="009D7B51"/>
    <w:rPr>
      <w:rFonts w:ascii="Calibri" w:eastAsia="Times New Roman" w:hAnsi="Calibri" w:cs="Times New Roman"/>
      <w:b/>
      <w:bCs/>
      <w:lang w:val="sr-Cyrl-CS" w:eastAsia="hr-HR"/>
    </w:rPr>
  </w:style>
  <w:style w:type="paragraph" w:styleId="NoSpacing">
    <w:name w:val="No Spacing"/>
    <w:link w:val="NoSpacingChar"/>
    <w:qFormat/>
    <w:rsid w:val="009D7B51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9D7B5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D7B51"/>
    <w:pPr>
      <w:ind w:left="720"/>
      <w:contextualSpacing/>
    </w:pPr>
  </w:style>
  <w:style w:type="paragraph" w:customStyle="1" w:styleId="Odlomakpopisa">
    <w:name w:val="Odlomak popisa"/>
    <w:basedOn w:val="Normal"/>
    <w:uiPriority w:val="34"/>
    <w:qFormat/>
    <w:rsid w:val="009D7B51"/>
    <w:pPr>
      <w:spacing w:after="0" w:line="240" w:lineRule="auto"/>
      <w:ind w:left="708"/>
    </w:pPr>
    <w:rPr>
      <w:rFonts w:ascii="Times New Roman" w:hAnsi="Times New Roman"/>
      <w:sz w:val="24"/>
      <w:szCs w:val="24"/>
      <w:lang w:val="sr-Cyrl-CS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AA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57E5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D357E5"/>
    <w:rPr>
      <w:rFonts w:asciiTheme="majorHAnsi" w:eastAsiaTheme="majorEastAsia" w:hAnsiTheme="majorHAnsi" w:cstheme="majorBidi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My%20Documents\Boo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sr-Cyrl-CS" sz="1200"/>
              <a:t>Заступљеност деце на говорним терапијама, по узрасту и врстама у шк.2013/2014 год.</a:t>
            </a:r>
            <a:endParaRPr lang="en-US" sz="1200"/>
          </a:p>
        </c:rich>
      </c:tx>
    </c:title>
    <c:plotArea>
      <c:layout>
        <c:manualLayout>
          <c:layoutTarget val="inner"/>
          <c:xMode val="edge"/>
          <c:yMode val="edge"/>
          <c:x val="0.27742610977975768"/>
          <c:y val="0.43129347765320702"/>
          <c:w val="0.49143672258359011"/>
          <c:h val="0.56870652234679364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9.6462969302750223E-2"/>
                  <c:y val="-0.14344835813326862"/>
                </c:manualLayout>
              </c:layout>
              <c:showPercent val="1"/>
            </c:dLbl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showPercent val="1"/>
            <c:showLeaderLines val="1"/>
          </c:dLbls>
          <c:cat>
            <c:strRef>
              <c:f>[Book2.xlsx]Sheet1!$C$11:$L$11</c:f>
              <c:strCache>
                <c:ptCount val="10"/>
                <c:pt idx="0">
                  <c:v>пор.артик</c:v>
                </c:pt>
                <c:pt idx="1">
                  <c:v>закаснео гов.јез.развој</c:v>
                </c:pt>
                <c:pt idx="2">
                  <c:v>порем. пажње</c:v>
                </c:pt>
                <c:pt idx="3">
                  <c:v>oштећ.слуха</c:v>
                </c:pt>
                <c:pt idx="4">
                  <c:v>развојна дисф.</c:v>
                </c:pt>
                <c:pt idx="5">
                  <c:v>порем.ритма и темпа</c:v>
                </c:pt>
                <c:pt idx="6">
                  <c:v>успор.психомот.раз.</c:v>
                </c:pt>
                <c:pt idx="7">
                  <c:v>мот.незрел.</c:v>
                </c:pt>
                <c:pt idx="8">
                  <c:v>цереб.пар. </c:v>
                </c:pt>
                <c:pt idx="9">
                  <c:v>елек.мут.</c:v>
                </c:pt>
              </c:strCache>
            </c:strRef>
          </c:cat>
          <c:val>
            <c:numRef>
              <c:f>[Book2.xlsx]Sheet1!$C$12:$L$12</c:f>
              <c:numCache>
                <c:formatCode>General</c:formatCode>
                <c:ptCount val="10"/>
                <c:pt idx="0">
                  <c:v>75</c:v>
                </c:pt>
                <c:pt idx="1">
                  <c:v>5</c:v>
                </c:pt>
                <c:pt idx="2">
                  <c:v>2</c:v>
                </c:pt>
                <c:pt idx="3">
                  <c:v>2</c:v>
                </c:pt>
                <c:pt idx="4">
                  <c:v>4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  <c:pt idx="8">
                  <c:v>3</c:v>
                </c:pt>
                <c:pt idx="9">
                  <c:v>1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t"/>
      <c:layout>
        <c:manualLayout>
          <c:xMode val="edge"/>
          <c:yMode val="edge"/>
          <c:x val="0.10866103693560089"/>
          <c:y val="0.17329873976158094"/>
          <c:w val="0.76818498231199361"/>
          <c:h val="0.2103008169555213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618</Words>
  <Characters>3528</Characters>
  <Application>Microsoft Office Word</Application>
  <DocSecurity>0</DocSecurity>
  <Lines>29</Lines>
  <Paragraphs>8</Paragraphs>
  <ScaleCrop>false</ScaleCrop>
  <Company>microsoft.org</Company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7</cp:revision>
  <dcterms:created xsi:type="dcterms:W3CDTF">2014-07-14T10:15:00Z</dcterms:created>
  <dcterms:modified xsi:type="dcterms:W3CDTF">2014-07-14T10:24:00Z</dcterms:modified>
</cp:coreProperties>
</file>